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2018 Kelly Walsh/NC Track Dual Order of Events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Running Events: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1600 Medley Relay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100/110 Hurdles 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4x800 relay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100 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1600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4X100 relay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400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300 Hurdles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800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200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3200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4x400 Relay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Field Events: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Pole Vault (boys, girls)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High Jump (girls, boys)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Shot (girls, boys)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Discuss (boys, girls)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Triple Jump (boys,girls)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Long jump (girls, boys)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